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C1C" w:rsidRDefault="00364C1C" w:rsidP="00364C1C">
      <w:pPr>
        <w:pStyle w:val="Teksti"/>
        <w:ind w:left="0"/>
        <w:rPr>
          <w:b/>
          <w:sz w:val="28"/>
          <w:szCs w:val="28"/>
        </w:rPr>
      </w:pPr>
      <w:r>
        <w:rPr>
          <w:b/>
          <w:sz w:val="28"/>
          <w:szCs w:val="28"/>
        </w:rPr>
        <w:t xml:space="preserve">Ansökningsgrupp 2: Stärkande av välbefinnandet, samhörigheten och delaktigheten </w:t>
      </w:r>
    </w:p>
    <w:p w:rsidR="00364C1C" w:rsidRDefault="00364C1C" w:rsidP="00364C1C">
      <w:pPr>
        <w:pStyle w:val="Teksti"/>
        <w:ind w:left="0"/>
        <w:rPr>
          <w:b/>
        </w:rPr>
      </w:pPr>
    </w:p>
    <w:p w:rsidR="00364C1C" w:rsidRPr="00265E6B" w:rsidRDefault="00364C1C" w:rsidP="00364C1C">
      <w:pPr>
        <w:pStyle w:val="Teksti"/>
        <w:ind w:left="1304"/>
        <w:rPr>
          <w:b/>
        </w:rPr>
      </w:pPr>
    </w:p>
    <w:p w:rsidR="00364C1C" w:rsidRPr="00265E6B" w:rsidRDefault="00364C1C" w:rsidP="00364C1C">
      <w:pPr>
        <w:pStyle w:val="Teksti"/>
        <w:ind w:left="0"/>
        <w:rPr>
          <w:b/>
          <w:sz w:val="24"/>
        </w:rPr>
      </w:pPr>
      <w:r>
        <w:rPr>
          <w:b/>
          <w:sz w:val="24"/>
        </w:rPr>
        <w:t xml:space="preserve">2.1 Utveckling av de studerandes påverkningsmöjligheter och studerandekårsverksamheten </w:t>
      </w:r>
    </w:p>
    <w:p w:rsidR="00364C1C" w:rsidRPr="00265E6B" w:rsidRDefault="00364C1C" w:rsidP="00364C1C">
      <w:pPr>
        <w:pStyle w:val="Teksti"/>
        <w:ind w:left="1304"/>
        <w:rPr>
          <w:bCs/>
        </w:rPr>
      </w:pPr>
    </w:p>
    <w:p w:rsidR="00364C1C" w:rsidRPr="00265E6B" w:rsidRDefault="00364C1C" w:rsidP="00364C1C">
      <w:pPr>
        <w:pStyle w:val="Teksti"/>
        <w:ind w:left="0"/>
        <w:rPr>
          <w:bCs/>
        </w:rPr>
      </w:pPr>
      <w:r w:rsidRPr="00E9453A">
        <w:t xml:space="preserve">Målet är att utveckla konkreta åtgärder för att stärka de studerandes upplevelser av delaktighet. Man </w:t>
      </w:r>
      <w:r w:rsidRPr="00E9453A">
        <w:rPr>
          <w:b/>
          <w:bCs/>
        </w:rPr>
        <w:t>utvecklar s</w:t>
      </w:r>
      <w:r w:rsidRPr="00E9453A">
        <w:rPr>
          <w:b/>
        </w:rPr>
        <w:t>tuderandekårsverksamheten samt förbättrar och synliggör de studerandes påverkningsmöjligheter</w:t>
      </w:r>
      <w:r w:rsidRPr="00E9453A">
        <w:t xml:space="preserve"> i gemenskapen på läroanstalten. Man ska söka efter sådana sätt som gör det möjligt att i dagens läge nå både unga och vuxna studerande med information om verksamheten och även se till att alla studerande har jämlika möjligheter att delta i verksamheten (inkl.  minoritetsgrupper, såsom studerande som är i behov av särskilt stöd och studerande med invandrarbakgrund). Man utvecklar modeller som gör det möjligt att inkludera deltagande i studerandekårsverksamhet i de gemensamma examensdelarna. Särskilt betonas verksamhet med riktningen ”från studerande till studerande”, till exempel </w:t>
      </w:r>
      <w:proofErr w:type="spellStart"/>
      <w:r w:rsidRPr="00E9453A">
        <w:t>peer</w:t>
      </w:r>
      <w:proofErr w:type="spellEnd"/>
      <w:r w:rsidRPr="00E9453A">
        <w:t xml:space="preserve"> to </w:t>
      </w:r>
      <w:proofErr w:type="spellStart"/>
      <w:r w:rsidRPr="00E9453A">
        <w:t>peer</w:t>
      </w:r>
      <w:proofErr w:type="spellEnd"/>
      <w:r w:rsidRPr="00E9453A">
        <w:t>-kommunikation och -handledning, så att</w:t>
      </w:r>
      <w:r>
        <w:t xml:space="preserve"> olika påverkningssätt och -metoder ska bli konkreta och bekanta för de studerande.</w:t>
      </w:r>
    </w:p>
    <w:p w:rsidR="00364C1C" w:rsidRPr="00265E6B" w:rsidRDefault="00364C1C" w:rsidP="00364C1C">
      <w:pPr>
        <w:pStyle w:val="Teksti"/>
        <w:ind w:left="1304"/>
        <w:rPr>
          <w:bCs/>
        </w:rPr>
      </w:pPr>
    </w:p>
    <w:p w:rsidR="00364C1C" w:rsidRPr="00CF1866" w:rsidRDefault="00364C1C" w:rsidP="00364C1C">
      <w:pPr>
        <w:pStyle w:val="Teksti"/>
        <w:ind w:left="0"/>
      </w:pPr>
      <w:r w:rsidRPr="00E9453A">
        <w:t>Man ska aktivera de studerande att medverka i studerande-/studerandekårsverksamheten på ett omfattande sätt, så att arbetet med att utveckla gemenskapen på läroanstalten blir en gemensam sak för alla. Studerandekårsverksamheten utvecklas gemensamt, så att den får en stark roll när man fattar beslut om frågor som gäller de studerande. Man ska särskilt uppmärksamma effekterna av beslutsfattandet och synligheten av sambanden mellan orsak och verkan. Utvecklingsarbetet ska genomföras i nätverk tillsammans med studerandeorganisationerna och vid behov med andra aktörer inom tredje sektorn. Arbetet ska grunda sig på det utvecklingsarbete som tidigare gjorts för att främja samhörigheten och delaktigheten. Modellerna för att stärka de studerandes påverkningsmöjligheter ska spridas nationellt.</w:t>
      </w:r>
      <w:r>
        <w:t xml:space="preserve"> </w:t>
      </w:r>
    </w:p>
    <w:p w:rsidR="00364C1C" w:rsidRPr="00265E6B" w:rsidRDefault="00364C1C" w:rsidP="00364C1C">
      <w:pPr>
        <w:pStyle w:val="Teksti"/>
        <w:ind w:left="1304"/>
        <w:rPr>
          <w:bCs/>
        </w:rPr>
      </w:pPr>
    </w:p>
    <w:p w:rsidR="00364C1C" w:rsidRPr="00265E6B" w:rsidRDefault="00364C1C" w:rsidP="00364C1C">
      <w:pPr>
        <w:pStyle w:val="Teksti"/>
        <w:ind w:left="1304"/>
        <w:rPr>
          <w:bCs/>
        </w:rPr>
      </w:pPr>
    </w:p>
    <w:p w:rsidR="00364C1C" w:rsidRPr="00265E6B" w:rsidRDefault="00364C1C" w:rsidP="00364C1C">
      <w:pPr>
        <w:pStyle w:val="Teksti"/>
        <w:ind w:left="0"/>
        <w:rPr>
          <w:b/>
          <w:sz w:val="24"/>
        </w:rPr>
      </w:pPr>
      <w:r>
        <w:rPr>
          <w:b/>
          <w:sz w:val="24"/>
        </w:rPr>
        <w:t xml:space="preserve">2.2 Utvidgning av verksamheten för yrkesutbildning i rörelse och användningen av arbetskapacitetsintyget för yrkesutövare </w:t>
      </w:r>
    </w:p>
    <w:p w:rsidR="00364C1C" w:rsidRPr="00265E6B" w:rsidRDefault="00364C1C" w:rsidP="00364C1C">
      <w:pPr>
        <w:pStyle w:val="Teksti"/>
        <w:ind w:left="1304"/>
        <w:rPr>
          <w:bCs/>
        </w:rPr>
      </w:pPr>
    </w:p>
    <w:p w:rsidR="00364C1C" w:rsidRPr="00265E6B" w:rsidRDefault="00364C1C" w:rsidP="00364C1C">
      <w:pPr>
        <w:pStyle w:val="Teksti"/>
        <w:ind w:left="0"/>
        <w:rPr>
          <w:bCs/>
        </w:rPr>
      </w:pPr>
      <w:r>
        <w:t xml:space="preserve">De studerandes välbefinnande och fysiska aktivitet ökas genom </w:t>
      </w:r>
      <w:r>
        <w:rPr>
          <w:b/>
        </w:rPr>
        <w:t xml:space="preserve">en systematisk utvidgning av verksamheten för yrkesutbildning i rörelse och användningen av arbetskapacitetsintyget för </w:t>
      </w:r>
      <w:r w:rsidRPr="00E9453A">
        <w:rPr>
          <w:b/>
        </w:rPr>
        <w:t>yrkesutövare.</w:t>
      </w:r>
      <w:r w:rsidRPr="00E9453A">
        <w:t xml:space="preserve"> Verksamheten systematiseras genom att utveckla rutinerna och processhanteringen i gemenskaperna på läroanstalterna samt genom att koppla verksamheten till personalens uppgiftsbeskrivningar. Nya aktörer tas med och de ges en möjlighet till </w:t>
      </w:r>
      <w:proofErr w:type="spellStart"/>
      <w:r w:rsidRPr="00E9453A">
        <w:t>peer</w:t>
      </w:r>
      <w:proofErr w:type="spellEnd"/>
      <w:r>
        <w:t xml:space="preserve"> </w:t>
      </w:r>
      <w:proofErr w:type="spellStart"/>
      <w:r>
        <w:t>learning</w:t>
      </w:r>
      <w:proofErr w:type="spellEnd"/>
      <w:r>
        <w:t xml:space="preserve"> i utvecklingsnätverket. </w:t>
      </w:r>
    </w:p>
    <w:p w:rsidR="00364C1C" w:rsidRPr="00265E6B" w:rsidRDefault="00364C1C" w:rsidP="00364C1C">
      <w:pPr>
        <w:pStyle w:val="Teksti"/>
        <w:ind w:left="1304"/>
        <w:rPr>
          <w:bCs/>
        </w:rPr>
      </w:pPr>
    </w:p>
    <w:p w:rsidR="00364C1C" w:rsidRPr="00265E6B" w:rsidRDefault="00364C1C" w:rsidP="00364C1C">
      <w:pPr>
        <w:pStyle w:val="Teksti"/>
        <w:ind w:left="0"/>
        <w:rPr>
          <w:bCs/>
        </w:rPr>
      </w:pPr>
      <w:r w:rsidRPr="00B93B97">
        <w:t>Målet är att främja den studerandes fysiska och psykiska välbefinnande genom att betona förebyggande verksamhet och tidigt ingripande. Centrala fokusområden är att upprätthålla arbets- och funktionsförmågan, kosten samt främjandet av den psykiska hälsan. Man utvecklar modeller för att främja välbefinnandet genom motion i naturen samt för att öka motionen som sker på eget initiativ. I genomförandet ska man beakta de utmaningar som distansstudier och självständiga studier medför samt de möjligheter som digitala verktyg ger när det gäller att motionera tillsammans på distans. Resultaten blir en utvidgad och mångsidig verksamhet inom nätverket för yrkesutbildningen i rörelse, en effektiviserad användning av arbetskapacitetsintyget för yrkesutövare samt en ökad motionsinriktad aktivitet hos de studerande. Modeller och tillhörande material som utarbetas inom ramen</w:t>
      </w:r>
      <w:r>
        <w:t xml:space="preserve"> för utvecklingsarbetet ska finnas öppet tillgängliga både på finska och svenska.</w:t>
      </w:r>
    </w:p>
    <w:p w:rsidR="00364C1C" w:rsidRDefault="00364C1C" w:rsidP="00364C1C">
      <w:pPr>
        <w:pStyle w:val="Teksti"/>
        <w:ind w:left="0"/>
        <w:rPr>
          <w:bCs/>
        </w:rPr>
      </w:pPr>
    </w:p>
    <w:p w:rsidR="00364C1C" w:rsidRDefault="00364C1C" w:rsidP="00364C1C">
      <w:pPr>
        <w:pStyle w:val="Teksti"/>
        <w:ind w:left="0"/>
        <w:rPr>
          <w:bCs/>
        </w:rPr>
      </w:pPr>
    </w:p>
    <w:p w:rsidR="00364C1C" w:rsidRPr="00265E6B" w:rsidRDefault="00364C1C" w:rsidP="00364C1C">
      <w:pPr>
        <w:pStyle w:val="Teksti"/>
        <w:ind w:left="0"/>
        <w:rPr>
          <w:b/>
          <w:sz w:val="24"/>
        </w:rPr>
      </w:pPr>
      <w:r>
        <w:rPr>
          <w:b/>
          <w:sz w:val="24"/>
        </w:rPr>
        <w:t>2.3 Stärkande av en verksamhetskultur som främjar gemenskap</w:t>
      </w:r>
      <w:bookmarkStart w:id="0" w:name="_Hlk44485458"/>
      <w:r>
        <w:rPr>
          <w:b/>
          <w:sz w:val="24"/>
        </w:rPr>
        <w:t xml:space="preserve"> </w:t>
      </w:r>
      <w:bookmarkEnd w:id="0"/>
    </w:p>
    <w:p w:rsidR="00364C1C" w:rsidRPr="00265E6B" w:rsidRDefault="00364C1C" w:rsidP="00364C1C">
      <w:pPr>
        <w:pStyle w:val="Teksti"/>
        <w:ind w:left="1304"/>
        <w:rPr>
          <w:bCs/>
        </w:rPr>
      </w:pPr>
    </w:p>
    <w:p w:rsidR="00364C1C" w:rsidRPr="00265E6B" w:rsidRDefault="00364C1C" w:rsidP="00364C1C">
      <w:pPr>
        <w:pStyle w:val="Teksti"/>
        <w:ind w:left="0"/>
        <w:rPr>
          <w:bCs/>
        </w:rPr>
      </w:pPr>
      <w:r w:rsidRPr="00B93B97">
        <w:t xml:space="preserve">Målet är att stärka en verksamhetskultur som främjar gemenskap genom att utveckla </w:t>
      </w:r>
      <w:r w:rsidRPr="00B93B97">
        <w:rPr>
          <w:b/>
          <w:bCs/>
        </w:rPr>
        <w:t>gruppbildningen</w:t>
      </w:r>
      <w:r w:rsidRPr="00B93B97">
        <w:t xml:space="preserve"> som sker i olika skeden av studierna samt andra konkreta åtgärder för att säkerställa </w:t>
      </w:r>
      <w:r w:rsidRPr="00B93B97">
        <w:rPr>
          <w:b/>
          <w:bCs/>
        </w:rPr>
        <w:t>den studerandes engagemang i gemenskapen på läroanstalten</w:t>
      </w:r>
      <w:r w:rsidRPr="00B93B97">
        <w:t xml:space="preserve">. Faktorer som utgör ett hot för den studerandes sociala </w:t>
      </w:r>
      <w:r w:rsidRPr="00B93B97">
        <w:lastRenderedPageBreak/>
        <w:t>relationer, psykiska välbefinnande och självständiga aktivitet är bland annat dålig självkänsla, social ångest, studierelaterad stress, ensamhet, mobbning, trakasserier, diskriminering och användning av rusmedel. Genom att utveckla lågtröskelverksamhet kan man effektivisera identifieringen av de här faktorerna och reaktionen i rätt tid.</w:t>
      </w:r>
    </w:p>
    <w:p w:rsidR="00364C1C" w:rsidRDefault="00364C1C" w:rsidP="00364C1C">
      <w:pPr>
        <w:pStyle w:val="Teksti"/>
        <w:ind w:left="1304"/>
        <w:rPr>
          <w:bCs/>
        </w:rPr>
      </w:pPr>
    </w:p>
    <w:p w:rsidR="00364C1C" w:rsidRPr="00265E6B" w:rsidRDefault="00364C1C" w:rsidP="00364C1C">
      <w:pPr>
        <w:pStyle w:val="Teksti"/>
        <w:ind w:left="0"/>
        <w:rPr>
          <w:bCs/>
        </w:rPr>
      </w:pPr>
      <w:r w:rsidRPr="00B93B97">
        <w:t xml:space="preserve">Målet är också att </w:t>
      </w:r>
      <w:r w:rsidRPr="00B93B97">
        <w:rPr>
          <w:b/>
          <w:bCs/>
        </w:rPr>
        <w:t>stärka och utveckla</w:t>
      </w:r>
      <w:r w:rsidRPr="00B93B97">
        <w:t xml:space="preserve"> samarbetet mellan </w:t>
      </w:r>
      <w:r w:rsidRPr="00B93B97">
        <w:rPr>
          <w:b/>
          <w:bCs/>
        </w:rPr>
        <w:t>anordnarna av yrkesutbildning och ungdomsväsendet</w:t>
      </w:r>
      <w:r w:rsidRPr="00B93B97">
        <w:t xml:space="preserve">. Läroanstaltens pedagogiska gemenskap, dit också ungdomsarbetarna hör, stärker en verksamhet som främjar gemenskapen och utgår från de studerande genom att utveckla och genomföra grupporienterade metoder för att stöda de studerande välbefinnande. </w:t>
      </w:r>
      <w:bookmarkStart w:id="1" w:name="_Hlk44674496"/>
      <w:r w:rsidRPr="00B93B97">
        <w:t>Målet är att utveckla och nationellt sprida modeller för samarbete mellan ungdomsväsendet och läroanstalterna som lämpar sig för anordnarna av yrkesutbildning och kommunerna.</w:t>
      </w:r>
      <w:bookmarkEnd w:id="1"/>
      <w:r w:rsidRPr="00B93B97">
        <w:t xml:space="preserve"> Utvecklingen genomförs i samarbete med kompetenscentret </w:t>
      </w:r>
      <w:proofErr w:type="spellStart"/>
      <w:r w:rsidRPr="00B93B97">
        <w:t>Nuoska</w:t>
      </w:r>
      <w:proofErr w:type="spellEnd"/>
      <w:r w:rsidRPr="00B93B97">
        <w:t xml:space="preserve"> vid </w:t>
      </w:r>
      <w:proofErr w:type="spellStart"/>
      <w:r w:rsidRPr="00B93B97">
        <w:t>Kaakkois-Suomen</w:t>
      </w:r>
      <w:proofErr w:type="spellEnd"/>
      <w:r w:rsidRPr="00B93B97">
        <w:t xml:space="preserve"> </w:t>
      </w:r>
      <w:proofErr w:type="spellStart"/>
      <w:r w:rsidRPr="00B93B97">
        <w:t>ammattikorkeakoulu</w:t>
      </w:r>
      <w:proofErr w:type="spellEnd"/>
      <w:r w:rsidRPr="00B93B97">
        <w:t xml:space="preserve">. </w:t>
      </w:r>
      <w:proofErr w:type="spellStart"/>
      <w:r w:rsidRPr="00B93B97">
        <w:t>Nuoska</w:t>
      </w:r>
      <w:proofErr w:type="spellEnd"/>
      <w:r w:rsidRPr="00B93B97">
        <w:t xml:space="preserve"> har i uppdrag att sprida goda modeller för samarbete mellan undervisningssektorn och ungdomsväsendet samt att utveckla och skapa modeller för ungdomsarbetet i skolorna och läroanstalterna på nationell nivå.</w:t>
      </w:r>
      <w:r>
        <w:t xml:space="preserve"> </w:t>
      </w:r>
    </w:p>
    <w:p w:rsidR="00364C1C" w:rsidRPr="00265E6B" w:rsidRDefault="00364C1C" w:rsidP="00364C1C">
      <w:pPr>
        <w:pStyle w:val="Teksti"/>
        <w:ind w:left="1304"/>
        <w:rPr>
          <w:bCs/>
        </w:rPr>
      </w:pPr>
    </w:p>
    <w:p w:rsidR="00364C1C" w:rsidRPr="00265E6B" w:rsidRDefault="00364C1C" w:rsidP="00364C1C">
      <w:pPr>
        <w:pStyle w:val="Teksti"/>
        <w:ind w:left="1304"/>
        <w:rPr>
          <w:b/>
          <w:sz w:val="24"/>
        </w:rPr>
      </w:pPr>
    </w:p>
    <w:p w:rsidR="00364C1C" w:rsidRPr="00265E6B" w:rsidRDefault="00364C1C" w:rsidP="00364C1C">
      <w:pPr>
        <w:pStyle w:val="Teksti"/>
        <w:ind w:left="0"/>
        <w:rPr>
          <w:b/>
          <w:sz w:val="24"/>
        </w:rPr>
      </w:pPr>
      <w:r>
        <w:rPr>
          <w:b/>
          <w:sz w:val="24"/>
        </w:rPr>
        <w:t xml:space="preserve">2.4 </w:t>
      </w:r>
      <w:bookmarkStart w:id="2" w:name="_Hlk44485467"/>
      <w:r>
        <w:rPr>
          <w:b/>
          <w:sz w:val="24"/>
        </w:rPr>
        <w:t>Utveckling av säkerhetskulturen inom yrkesutbildningen</w:t>
      </w:r>
    </w:p>
    <w:bookmarkEnd w:id="2"/>
    <w:p w:rsidR="00364C1C" w:rsidRPr="00265E6B" w:rsidRDefault="00364C1C" w:rsidP="00364C1C">
      <w:pPr>
        <w:pStyle w:val="Teksti"/>
        <w:ind w:left="1304"/>
        <w:rPr>
          <w:bCs/>
        </w:rPr>
      </w:pPr>
    </w:p>
    <w:p w:rsidR="00364C1C" w:rsidRPr="00265E6B" w:rsidRDefault="00364C1C" w:rsidP="00364C1C">
      <w:pPr>
        <w:pStyle w:val="Teksti"/>
        <w:ind w:left="0"/>
        <w:rPr>
          <w:bCs/>
        </w:rPr>
      </w:pPr>
      <w:r w:rsidRPr="00B93B97">
        <w:t xml:space="preserve">Målet är att utveckla säkerhetskulturen som helhet tillsammans med de studerande, i synnerhet </w:t>
      </w:r>
      <w:r w:rsidRPr="00B93B97">
        <w:rPr>
          <w:b/>
          <w:bCs/>
        </w:rPr>
        <w:t>genom att</w:t>
      </w:r>
      <w:r w:rsidRPr="00B93B97">
        <w:t xml:space="preserve"> </w:t>
      </w:r>
      <w:r w:rsidRPr="00B93B97">
        <w:rPr>
          <w:b/>
          <w:bCs/>
        </w:rPr>
        <w:t>utveckla modeller för förebyggande verksamhet</w:t>
      </w:r>
      <w:r w:rsidRPr="00B93B97">
        <w:t>. På det här sättet tryggar man upplevelsen av delaktighet samt välbefinnandet och säkerheten för alla studerande (inkl. specialgrupper såsom studerande med funktionsnedsättning och studerande med invandrarbakgrund). Säkerheten beaktas som helhet och inkluderar fysisk, psykisk, social och pedagogisk säkerhet och inbegriper också förebyggande av mobbning och trakasserier. Den pedagogiska tryggheten främjas genom att bygga upp de vardagliga lärsituationerna i olika lärmiljöer så att de pedagogiska lösningarna inger en känsla av trygghet.</w:t>
      </w:r>
    </w:p>
    <w:p w:rsidR="00364C1C" w:rsidRPr="00265E6B" w:rsidRDefault="00364C1C" w:rsidP="00364C1C">
      <w:pPr>
        <w:pStyle w:val="Teksti"/>
        <w:ind w:left="1304"/>
        <w:rPr>
          <w:bCs/>
        </w:rPr>
      </w:pPr>
    </w:p>
    <w:p w:rsidR="00364C1C" w:rsidRPr="00265E6B" w:rsidRDefault="00364C1C" w:rsidP="00364C1C">
      <w:pPr>
        <w:pStyle w:val="Teksti"/>
        <w:ind w:left="0"/>
        <w:rPr>
          <w:bCs/>
        </w:rPr>
      </w:pPr>
      <w:r w:rsidRPr="00B93B97">
        <w:t xml:space="preserve">Målet är att man kan känna igen faktorer som inverkar på säkerheten och har beredskap för att reagera på dem. Sådana faktorer är till exempel risker för en pandemi, </w:t>
      </w:r>
      <w:proofErr w:type="spellStart"/>
      <w:r w:rsidRPr="00B93B97">
        <w:t>informationsläckor</w:t>
      </w:r>
      <w:proofErr w:type="spellEnd"/>
      <w:r w:rsidRPr="00B93B97">
        <w:t>, skadegörelse, mobbning, trakasserier, hotfullt beteende, hatretorik, rusmedel, problem med den psykiska hälsan, tillbud och olycksfall. Man utvecklar modeller för hur man ska registrera och systematiskt följa upp iakttagelser, händelser och brister gällande säkerheten. Rätten till en trygg studiemiljö omfattar även utbildning som ordnas på arbetsplatsen. Man utvecklar modeller för att säkerställa den studerandes kunnande om de branschspecifika säkerhetsrutinerna i arbetslivet innan den studerande går till arbetsplatsen. Därtill ska man planera och genomföra konkret verksamhet som kan förbättra det grundläggande säkerhetskunnandet (till exempel införande av säkerhetspromenader som en del av vardagen samt förutseende verksamhet).</w:t>
      </w:r>
      <w:r>
        <w:t xml:space="preserve"> </w:t>
      </w:r>
    </w:p>
    <w:p w:rsidR="00364C1C" w:rsidRPr="00265E6B" w:rsidRDefault="00364C1C" w:rsidP="00364C1C">
      <w:pPr>
        <w:pStyle w:val="Teksti"/>
        <w:ind w:left="1304"/>
        <w:rPr>
          <w:bCs/>
        </w:rPr>
      </w:pPr>
    </w:p>
    <w:p w:rsidR="00364C1C" w:rsidRDefault="00364C1C" w:rsidP="00364C1C">
      <w:pPr>
        <w:pStyle w:val="Teksti"/>
        <w:ind w:left="0"/>
      </w:pPr>
      <w:r w:rsidRPr="00B93B97">
        <w:t xml:space="preserve">Inom säkerhetsledningen ska fokus ligga på att säkerhetsstrategierna är uppdaterade och aktuella samt på implementeringen av dem. Man skapar rutiner som engagerar hela gemenskapen på läroanstalten i det gemensamma säkerhetstänket. Kommunikationen och informationsgången förbättras och ansvarsfördelningen förtydligas. Man utvecklar också gemensamma rutiner och processer för </w:t>
      </w:r>
      <w:r w:rsidRPr="00B93B97">
        <w:rPr>
          <w:b/>
          <w:bCs/>
        </w:rPr>
        <w:t>beredskapen</w:t>
      </w:r>
      <w:r w:rsidRPr="00B93B97">
        <w:t xml:space="preserve"> (till exempel utveckling och uppdatering av kris- och beredskapsplaner samt fördelning av ansvaret för kriskommunikationen). Beredskapsplanen ska utarbetas genom mångprofessionellt och regionalt samarbete. Resultatet ska bestå av modeller för beredskap och en bättre säkerhetskultur och de ska kunna spridas till utbildningsanordnarna på nationell nivå.</w:t>
      </w:r>
      <w:r>
        <w:t xml:space="preserve"> </w:t>
      </w:r>
    </w:p>
    <w:p w:rsidR="00364C1C" w:rsidRDefault="00364C1C" w:rsidP="00364C1C">
      <w:pPr>
        <w:pStyle w:val="Teksti"/>
        <w:ind w:left="0"/>
      </w:pPr>
    </w:p>
    <w:p w:rsidR="00364C1C" w:rsidRPr="00265E6B" w:rsidRDefault="00364C1C" w:rsidP="00364C1C">
      <w:pPr>
        <w:pStyle w:val="Teksti"/>
        <w:ind w:left="0"/>
        <w:rPr>
          <w:b/>
        </w:rPr>
      </w:pPr>
      <w:r>
        <w:rPr>
          <w:b/>
          <w:sz w:val="24"/>
        </w:rPr>
        <w:t>Den nationella koordineringen av arbetet med att utveckla välbefinnandet, samhörigheten och delaktigheten</w:t>
      </w:r>
    </w:p>
    <w:p w:rsidR="00364C1C" w:rsidRDefault="00364C1C" w:rsidP="00364C1C">
      <w:pPr>
        <w:pStyle w:val="Teksti"/>
        <w:ind w:left="0"/>
        <w:rPr>
          <w:bCs/>
        </w:rPr>
      </w:pPr>
    </w:p>
    <w:p w:rsidR="00364C1C" w:rsidRDefault="00364C1C" w:rsidP="00364C1C">
      <w:pPr>
        <w:pStyle w:val="Teksti"/>
        <w:ind w:left="0"/>
      </w:pPr>
      <w:r w:rsidRPr="00A730B1">
        <w:t xml:space="preserve">Helheten utvecklas i form av omfattande nätverksprojekt. Nätverkets utvecklingsarbete koordineras av en nationell koordinator som sammanställer och sprider nätverkets resultat och som samtidigt också koordinerar ett av nätverksprojekten. Den som är intresserad av uppdraget som nationell koordinator ska meddela om sitt intresse på ansökningsblanketten och ansöka om finansiering för det nationella </w:t>
      </w:r>
      <w:r w:rsidRPr="00A730B1">
        <w:lastRenderedPageBreak/>
        <w:t>koordineringsarbetet på den skilda ansökningsblanketten. Till koordinatorns uppdrag hör också en tät kontakt och ett samarbete med koordinatorerna för de övriga nätverken inom utvecklingsprogrammet.</w:t>
      </w:r>
    </w:p>
    <w:p w:rsidR="00364C1C" w:rsidRPr="00265E6B" w:rsidRDefault="00364C1C" w:rsidP="00364C1C">
      <w:pPr>
        <w:pStyle w:val="Teksti"/>
        <w:ind w:left="0"/>
        <w:rPr>
          <w:bCs/>
        </w:rPr>
      </w:pPr>
    </w:p>
    <w:p w:rsidR="00364C1C" w:rsidRPr="00265E6B" w:rsidRDefault="00364C1C" w:rsidP="00364C1C">
      <w:pPr>
        <w:pStyle w:val="Teksti"/>
        <w:ind w:left="1304"/>
        <w:rPr>
          <w:bCs/>
        </w:rPr>
      </w:pPr>
    </w:p>
    <w:p w:rsidR="00364C1C" w:rsidRDefault="00364C1C" w:rsidP="00364C1C">
      <w:pPr>
        <w:pStyle w:val="Teksti"/>
        <w:ind w:left="0"/>
        <w:rPr>
          <w:bCs/>
        </w:rPr>
      </w:pPr>
      <w:r>
        <w:t xml:space="preserve">Stöd för planeringen av utvecklingsarbetet: </w:t>
      </w:r>
    </w:p>
    <w:p w:rsidR="00364C1C" w:rsidRPr="00F15C15" w:rsidRDefault="00364C1C" w:rsidP="00364C1C">
      <w:pPr>
        <w:pStyle w:val="Teksti"/>
        <w:ind w:left="0"/>
      </w:pPr>
      <w:hyperlink r:id="rId4" w:history="1">
        <w:r w:rsidRPr="00F15C15">
          <w:rPr>
            <w:rStyle w:val="Hyperlinkki"/>
          </w:rPr>
          <w:t>https://www.oph.fi/sv/utbildning-och-examina/organisering-och-ledning-av-sakerheten-inom-yrkesutbildningen</w:t>
        </w:r>
      </w:hyperlink>
    </w:p>
    <w:p w:rsidR="00364C1C" w:rsidRDefault="00364C1C" w:rsidP="00364C1C">
      <w:pPr>
        <w:rPr>
          <w:rFonts w:cs="Calibri"/>
        </w:rPr>
      </w:pPr>
      <w:hyperlink r:id="rId5" w:history="1">
        <w:r>
          <w:rPr>
            <w:rStyle w:val="Hyperlinkki"/>
          </w:rPr>
          <w:t>https://www.oph.fi/fi/tilastot-ja-julkaisut/julkaisut/vakivaltaisen-radikalisoitumisen-ja-ekstremismin-ennaltaehkaisy</w:t>
        </w:r>
      </w:hyperlink>
      <w:r>
        <w:t xml:space="preserve"> (på finska)</w:t>
      </w:r>
    </w:p>
    <w:p w:rsidR="00364C1C" w:rsidRPr="00A21FA1" w:rsidRDefault="00364C1C" w:rsidP="00364C1C">
      <w:pPr>
        <w:pStyle w:val="Teksti"/>
        <w:ind w:left="0"/>
        <w:rPr>
          <w:bCs/>
        </w:rPr>
      </w:pPr>
      <w:hyperlink r:id="rId6" w:history="1">
        <w:r w:rsidRPr="00A21FA1">
          <w:rPr>
            <w:rStyle w:val="Hyperlinkki"/>
            <w:bCs/>
          </w:rPr>
          <w:t>https://www.oph.fi/fi/tilastot-ja-julkaisut/julkaisut/savupilvi-portin-ylla-tutkimus-ammatillisten-oppilaitosten</w:t>
        </w:r>
      </w:hyperlink>
      <w:r w:rsidRPr="00A21FA1">
        <w:rPr>
          <w:rStyle w:val="Hyperlinkki"/>
          <w:bCs/>
        </w:rPr>
        <w:t xml:space="preserve"> </w:t>
      </w:r>
      <w:r>
        <w:t>(på finska)</w:t>
      </w:r>
    </w:p>
    <w:p w:rsidR="00364C1C" w:rsidRPr="00364C1C" w:rsidRDefault="00364C1C" w:rsidP="00364C1C">
      <w:pPr>
        <w:pStyle w:val="Teksti"/>
        <w:ind w:left="0"/>
      </w:pPr>
      <w:hyperlink r:id="rId7" w:history="1">
        <w:r w:rsidRPr="00364C1C">
          <w:rPr>
            <w:rStyle w:val="Hyperlinkki"/>
          </w:rPr>
          <w:t xml:space="preserve">https://www.oph.fi/sv/statistik-och-publikationer/publikationer/handbok-att-forebygga-och-ingripa-i-sexuella-trakasserier  </w:t>
        </w:r>
      </w:hyperlink>
      <w:r w:rsidRPr="00364C1C">
        <w:t xml:space="preserve"> </w:t>
      </w:r>
    </w:p>
    <w:p w:rsidR="008C3D65" w:rsidRDefault="00364C1C">
      <w:bookmarkStart w:id="3" w:name="_GoBack"/>
      <w:bookmarkEnd w:id="3"/>
    </w:p>
    <w:sectPr w:rsidR="008C3D6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1C"/>
    <w:rsid w:val="001B7C8C"/>
    <w:rsid w:val="00364C1C"/>
    <w:rsid w:val="009C4B91"/>
    <w:rsid w:val="00C74FDD"/>
    <w:rsid w:val="00D82416"/>
    <w:rsid w:val="00F864F9"/>
    <w:rsid w:val="00FD1F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560D9-F991-47E6-836E-133EEBB0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64C1C"/>
    <w:pPr>
      <w:spacing w:after="0" w:line="240" w:lineRule="auto"/>
    </w:pPr>
    <w:rPr>
      <w:rFonts w:eastAsia="Times New Roman" w:cs="Garamond"/>
      <w:lang w:val="sv-SE"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ksti">
    <w:name w:val="Teksti"/>
    <w:basedOn w:val="Normaali"/>
    <w:link w:val="TekstiChar"/>
    <w:qFormat/>
    <w:rsid w:val="00364C1C"/>
    <w:pPr>
      <w:spacing w:line="260" w:lineRule="exact"/>
      <w:ind w:left="2608"/>
    </w:pPr>
    <w:rPr>
      <w:szCs w:val="24"/>
    </w:rPr>
  </w:style>
  <w:style w:type="character" w:customStyle="1" w:styleId="TekstiChar">
    <w:name w:val="Teksti Char"/>
    <w:basedOn w:val="Kappaleenoletusfontti"/>
    <w:link w:val="Teksti"/>
    <w:rsid w:val="00364C1C"/>
    <w:rPr>
      <w:rFonts w:eastAsia="Times New Roman" w:cs="Garamond"/>
      <w:szCs w:val="24"/>
      <w:lang w:val="sv-SE" w:eastAsia="fi-FI"/>
    </w:rPr>
  </w:style>
  <w:style w:type="character" w:styleId="Hyperlinkki">
    <w:name w:val="Hyperlink"/>
    <w:basedOn w:val="Kappaleenoletusfontti"/>
    <w:uiPriority w:val="99"/>
    <w:unhideWhenUsed/>
    <w:rsid w:val="00364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ph.fi/sv/statistik-och-publikationer/publikationer/handbok-att-forebygga-och-ingripa-i-sexuella-trakasserier%20%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h.fi/fi/tilastot-ja-julkaisut/julkaisut/savupilvi-portin-ylla-tutkimus-ammatillisten-oppilaitosten" TargetMode="External"/><Relationship Id="rId5" Type="http://schemas.openxmlformats.org/officeDocument/2006/relationships/hyperlink" Target="https://www.oph.fi/fi/tilastot-ja-julkaisut/julkaisut/vakivaltaisen-radikalisoitumisen-ja-ekstremismin-ennaltaehkaisy" TargetMode="External"/><Relationship Id="rId4" Type="http://schemas.openxmlformats.org/officeDocument/2006/relationships/hyperlink" Target="https://www.oph.fi/sv/utbildning-och-examina/organisering-och-ledning-av-sakerheten-inom-yrkesutbildningen"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8184</Characters>
  <Application>Microsoft Office Word</Application>
  <DocSecurity>0</DocSecurity>
  <Lines>68</Lines>
  <Paragraphs>18</Paragraphs>
  <ScaleCrop>false</ScaleCrop>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 Ingeborg</dc:creator>
  <cp:keywords/>
  <dc:description/>
  <cp:lastModifiedBy>Rask Ingeborg</cp:lastModifiedBy>
  <cp:revision>1</cp:revision>
  <dcterms:created xsi:type="dcterms:W3CDTF">2020-08-31T11:51:00Z</dcterms:created>
  <dcterms:modified xsi:type="dcterms:W3CDTF">2020-08-31T11:52:00Z</dcterms:modified>
</cp:coreProperties>
</file>